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2611"/>
        <w:gridCol w:w="924"/>
        <w:gridCol w:w="783"/>
        <w:gridCol w:w="3214"/>
        <w:gridCol w:w="986"/>
      </w:tblGrid>
      <w:tr w:rsidR="008D0250" w14:paraId="07E02024" w14:textId="77777777" w:rsidTr="00806F28">
        <w:trPr>
          <w:trHeight w:val="299"/>
        </w:trPr>
        <w:tc>
          <w:tcPr>
            <w:tcW w:w="5222" w:type="dxa"/>
            <w:gridSpan w:val="2"/>
            <w:tcBorders>
              <w:top w:val="single" w:sz="12" w:space="0" w:color="0066FF"/>
              <w:left w:val="single" w:sz="12" w:space="0" w:color="0066FF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7FD32863" w14:textId="60A2104B" w:rsidR="008D0250" w:rsidRPr="00701695" w:rsidRDefault="00D1623D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Swisspearl Norge AS</w:t>
            </w:r>
          </w:p>
        </w:tc>
        <w:tc>
          <w:tcPr>
            <w:tcW w:w="4921" w:type="dxa"/>
            <w:gridSpan w:val="3"/>
            <w:tcBorders>
              <w:top w:val="single" w:sz="12" w:space="0" w:color="0066FF"/>
              <w:left w:val="nil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62C165F5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Bygningsplater</w:t>
            </w:r>
          </w:p>
        </w:tc>
        <w:tc>
          <w:tcPr>
            <w:tcW w:w="985" w:type="dxa"/>
            <w:tcBorders>
              <w:top w:val="single" w:sz="12" w:space="0" w:color="0066FF"/>
              <w:left w:val="nil"/>
              <w:bottom w:val="single" w:sz="4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30715BEB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1040</w:t>
            </w:r>
          </w:p>
        </w:tc>
      </w:tr>
      <w:tr w:rsidR="008D0250" w14:paraId="27EDBC74" w14:textId="77777777" w:rsidTr="00806F28">
        <w:trPr>
          <w:trHeight w:val="480"/>
        </w:trPr>
        <w:tc>
          <w:tcPr>
            <w:tcW w:w="6929" w:type="dxa"/>
            <w:gridSpan w:val="4"/>
            <w:tcBorders>
              <w:top w:val="single" w:sz="4" w:space="0" w:color="0066FF"/>
              <w:left w:val="single" w:sz="12" w:space="0" w:color="0066FF"/>
              <w:bottom w:val="single" w:sz="12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3C3DA96B" w14:textId="27939060" w:rsidR="008D0250" w:rsidRPr="00701695" w:rsidRDefault="00BE713F" w:rsidP="004F5F9C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Swisspearl </w:t>
            </w:r>
            <w:r w:rsidR="00162EE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Construction</w:t>
            </w:r>
            <w:r w:rsidR="008D0250" w:rsidRPr="0070169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fasadeplate</w:t>
            </w:r>
          </w:p>
        </w:tc>
        <w:tc>
          <w:tcPr>
            <w:tcW w:w="4199" w:type="dxa"/>
            <w:gridSpan w:val="2"/>
            <w:tcBorders>
              <w:top w:val="single" w:sz="4" w:space="0" w:color="0066FF"/>
              <w:left w:val="nil"/>
              <w:bottom w:val="single" w:sz="12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24994B62" w14:textId="77777777" w:rsidR="008D0250" w:rsidRPr="00701695" w:rsidRDefault="002E38B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NOBB </w:t>
            </w:r>
            <w:proofErr w:type="spellStart"/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modulnr</w:t>
            </w:r>
            <w:proofErr w:type="spellEnd"/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="004F7A09"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21083878</w:t>
            </w:r>
          </w:p>
        </w:tc>
      </w:tr>
      <w:tr w:rsidR="008D0250" w14:paraId="11CF2C18" w14:textId="77777777" w:rsidTr="00806F28">
        <w:trPr>
          <w:trHeight w:val="284"/>
        </w:trPr>
        <w:tc>
          <w:tcPr>
            <w:tcW w:w="11129" w:type="dxa"/>
            <w:gridSpan w:val="6"/>
            <w:tcBorders>
              <w:top w:val="single" w:sz="12" w:space="0" w:color="0066FF"/>
              <w:left w:val="single" w:sz="4" w:space="0" w:color="0066FF"/>
              <w:bottom w:val="double" w:sz="6" w:space="0" w:color="0066FF"/>
              <w:right w:val="single" w:sz="4" w:space="0" w:color="0066FF"/>
            </w:tcBorders>
            <w:vAlign w:val="center"/>
          </w:tcPr>
          <w:p w14:paraId="66637D6A" w14:textId="77777777" w:rsidR="008D0250" w:rsidRPr="00701695" w:rsidRDefault="002E38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1695">
              <w:rPr>
                <w:rFonts w:ascii="Arial" w:hAnsi="Arial" w:cs="Arial"/>
                <w:sz w:val="16"/>
                <w:szCs w:val="16"/>
              </w:rPr>
              <w:t>FDV-m4169072</w:t>
            </w:r>
            <w:r w:rsidR="00B32504" w:rsidRPr="007016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D0250" w14:paraId="1F33CEEA" w14:textId="77777777" w:rsidTr="00806F28">
        <w:trPr>
          <w:trHeight w:val="284"/>
        </w:trPr>
        <w:tc>
          <w:tcPr>
            <w:tcW w:w="11129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53DB4D5D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1. PROSJEKT</w:t>
            </w:r>
          </w:p>
        </w:tc>
      </w:tr>
      <w:tr w:rsidR="008D0250" w14:paraId="690069FA" w14:textId="77777777" w:rsidTr="00806F28">
        <w:trPr>
          <w:trHeight w:val="359"/>
        </w:trPr>
        <w:tc>
          <w:tcPr>
            <w:tcW w:w="2611" w:type="dxa"/>
            <w:tcBorders>
              <w:top w:val="double" w:sz="6" w:space="0" w:color="0066FF"/>
              <w:left w:val="single" w:sz="4" w:space="0" w:color="0066FF"/>
              <w:bottom w:val="nil"/>
              <w:right w:val="nil"/>
            </w:tcBorders>
            <w:vAlign w:val="bottom"/>
          </w:tcPr>
          <w:p w14:paraId="2195B097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Entreprenør / utførende:</w:t>
            </w:r>
          </w:p>
        </w:tc>
        <w:tc>
          <w:tcPr>
            <w:tcW w:w="8517" w:type="dxa"/>
            <w:gridSpan w:val="5"/>
            <w:tcBorders>
              <w:top w:val="double" w:sz="6" w:space="0" w:color="0066FF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06A45292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3C6E2334" w14:textId="77777777" w:rsidTr="00806F28">
        <w:trPr>
          <w:trHeight w:val="359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4FEE8BD6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Prosjekt / adresse: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0D777FCA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13A25AC5" w14:textId="77777777" w:rsidTr="00806F28">
        <w:trPr>
          <w:trHeight w:val="359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68494BEB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Bruksområde / bygningsdel: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5EF261E4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2E6EEC82" w14:textId="77777777" w:rsidTr="00806F28">
        <w:trPr>
          <w:trHeight w:val="59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double" w:sz="6" w:space="0" w:color="0066FF"/>
              <w:right w:val="single" w:sz="4" w:space="0" w:color="0066FF"/>
            </w:tcBorders>
            <w:vAlign w:val="bottom"/>
          </w:tcPr>
          <w:p w14:paraId="56810378" w14:textId="77777777" w:rsidR="008D0250" w:rsidRPr="00701695" w:rsidRDefault="008D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250" w14:paraId="2F918CEB" w14:textId="77777777" w:rsidTr="00806F28">
        <w:trPr>
          <w:trHeight w:val="299"/>
        </w:trPr>
        <w:tc>
          <w:tcPr>
            <w:tcW w:w="11129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70740FDD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2. PRODUKTBESKRIVELSE</w:t>
            </w:r>
          </w:p>
        </w:tc>
      </w:tr>
      <w:tr w:rsidR="008D0250" w14:paraId="175E02F5" w14:textId="77777777" w:rsidTr="00806F28">
        <w:trPr>
          <w:trHeight w:val="299"/>
        </w:trPr>
        <w:tc>
          <w:tcPr>
            <w:tcW w:w="11129" w:type="dxa"/>
            <w:gridSpan w:val="6"/>
            <w:vMerge w:val="restart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</w:tcPr>
          <w:p w14:paraId="7DD7E21E" w14:textId="783791C3" w:rsidR="002E38B4" w:rsidRPr="00701695" w:rsidRDefault="00BE713F" w:rsidP="004F5F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Swisspearl </w:t>
            </w:r>
            <w:r w:rsidR="00162EE4">
              <w:rPr>
                <w:rFonts w:ascii="Arial" w:hAnsi="Arial" w:cs="Arial"/>
                <w:sz w:val="18"/>
                <w:szCs w:val="18"/>
              </w:rPr>
              <w:t>Construction</w:t>
            </w:r>
            <w:r w:rsidR="002E38B4" w:rsidRPr="00701695">
              <w:rPr>
                <w:rFonts w:ascii="Arial" w:hAnsi="Arial" w:cs="Arial"/>
                <w:sz w:val="18"/>
                <w:szCs w:val="18"/>
              </w:rPr>
              <w:t xml:space="preserve"> fasadeplate </w:t>
            </w:r>
            <w:r w:rsidR="00B32504" w:rsidRPr="00701695">
              <w:rPr>
                <w:rFonts w:ascii="Arial" w:hAnsi="Arial" w:cs="Arial"/>
                <w:sz w:val="18"/>
                <w:szCs w:val="18"/>
              </w:rPr>
              <w:t>lages</w:t>
            </w:r>
            <w:r w:rsidR="002E38B4" w:rsidRPr="00701695">
              <w:rPr>
                <w:rFonts w:ascii="Arial" w:hAnsi="Arial" w:cs="Arial"/>
                <w:sz w:val="18"/>
                <w:szCs w:val="18"/>
              </w:rPr>
              <w:t xml:space="preserve"> av </w:t>
            </w:r>
            <w:r w:rsidR="00CC0BBB" w:rsidRPr="00701695">
              <w:rPr>
                <w:rFonts w:ascii="Arial" w:hAnsi="Arial" w:cs="Arial"/>
                <w:sz w:val="18"/>
                <w:szCs w:val="18"/>
              </w:rPr>
              <w:t>Portland-</w:t>
            </w:r>
            <w:r w:rsidR="002E38B4" w:rsidRPr="00701695">
              <w:rPr>
                <w:rFonts w:ascii="Arial" w:hAnsi="Arial" w:cs="Arial"/>
                <w:sz w:val="18"/>
                <w:szCs w:val="18"/>
              </w:rPr>
              <w:t xml:space="preserve">sement, </w:t>
            </w:r>
            <w:r w:rsidR="00CC0BBB" w:rsidRPr="00701695">
              <w:rPr>
                <w:rFonts w:ascii="Arial" w:hAnsi="Arial" w:cs="Arial"/>
                <w:sz w:val="18"/>
                <w:szCs w:val="18"/>
              </w:rPr>
              <w:t>uorganiske fillermateriale</w:t>
            </w:r>
            <w:r w:rsidR="0022596D">
              <w:rPr>
                <w:rFonts w:ascii="Arial" w:hAnsi="Arial" w:cs="Arial"/>
                <w:sz w:val="18"/>
                <w:szCs w:val="18"/>
              </w:rPr>
              <w:t xml:space="preserve"> med armering av</w:t>
            </w:r>
            <w:r w:rsidR="00CC0BBB" w:rsidRPr="00701695">
              <w:rPr>
                <w:rFonts w:ascii="Arial" w:hAnsi="Arial" w:cs="Arial"/>
                <w:sz w:val="18"/>
                <w:szCs w:val="18"/>
              </w:rPr>
              <w:t xml:space="preserve"> cellulosefibre, PVA og vannavstøtende midler. Platen tåler temperaturer opptil +150°C, selv over lang tid.</w:t>
            </w:r>
          </w:p>
          <w:p w14:paraId="5E0A956E" w14:textId="612BA0CB" w:rsidR="002E38B4" w:rsidRDefault="00BE713F" w:rsidP="004F5F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Swisspearl </w:t>
            </w:r>
            <w:r w:rsidR="00162EE4">
              <w:rPr>
                <w:rFonts w:ascii="Arial" w:hAnsi="Arial" w:cs="Arial"/>
                <w:sz w:val="18"/>
                <w:szCs w:val="18"/>
              </w:rPr>
              <w:t>Construction</w:t>
            </w:r>
            <w:r w:rsidR="00CC0BBB" w:rsidRPr="00701695">
              <w:rPr>
                <w:rFonts w:ascii="Arial" w:hAnsi="Arial" w:cs="Arial"/>
                <w:sz w:val="18"/>
                <w:szCs w:val="18"/>
              </w:rPr>
              <w:t xml:space="preserve"> er en ubehandlet fasadeplate av fibersement</w:t>
            </w:r>
            <w:r w:rsidR="002E38B4" w:rsidRPr="00701695">
              <w:rPr>
                <w:rFonts w:ascii="Arial" w:hAnsi="Arial" w:cs="Arial"/>
                <w:sz w:val="18"/>
                <w:szCs w:val="18"/>
              </w:rPr>
              <w:t>.</w:t>
            </w:r>
            <w:r w:rsidR="00CC0BBB" w:rsidRPr="00701695">
              <w:rPr>
                <w:rFonts w:ascii="Arial" w:hAnsi="Arial" w:cs="Arial"/>
                <w:sz w:val="18"/>
                <w:szCs w:val="18"/>
              </w:rPr>
              <w:t xml:space="preserve"> Platen har en sterk og hard overflate, som enten kan stå ubehandlet eller males på byggeplass. Platen er diffusjonsåpen, frostsikker, fuktbestandig, ubrennbar og tåler aggressive miljøer.</w:t>
            </w:r>
            <w:r w:rsidR="002E38B4" w:rsidRPr="007016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9BA210" w14:textId="77777777" w:rsidR="00387EE7" w:rsidRPr="00701695" w:rsidRDefault="00387EE7" w:rsidP="004F5F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713729A" w14:textId="77777777" w:rsidR="008D0250" w:rsidRPr="00701695" w:rsidRDefault="008D0250" w:rsidP="004F5F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206F64" w14:textId="77777777" w:rsidR="00F57B2B" w:rsidRPr="00701695" w:rsidRDefault="00F57B2B" w:rsidP="004F5F9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1695">
              <w:rPr>
                <w:rFonts w:ascii="Arial" w:hAnsi="Arial" w:cs="Arial"/>
                <w:sz w:val="18"/>
                <w:szCs w:val="18"/>
              </w:rPr>
              <w:t>Brannklasse</w:t>
            </w:r>
            <w:proofErr w:type="spellEnd"/>
            <w:r w:rsidRPr="00701695">
              <w:rPr>
                <w:rFonts w:ascii="Arial" w:hAnsi="Arial" w:cs="Arial"/>
                <w:sz w:val="18"/>
                <w:szCs w:val="18"/>
              </w:rPr>
              <w:t>: A2-s1.d0</w:t>
            </w:r>
          </w:p>
        </w:tc>
      </w:tr>
      <w:tr w:rsidR="008D0250" w14:paraId="10F5AA67" w14:textId="77777777" w:rsidTr="00806F28">
        <w:trPr>
          <w:trHeight w:val="299"/>
        </w:trPr>
        <w:tc>
          <w:tcPr>
            <w:tcW w:w="11129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0CA42A41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2537299E" w14:textId="77777777" w:rsidTr="00806F28">
        <w:trPr>
          <w:trHeight w:val="299"/>
        </w:trPr>
        <w:tc>
          <w:tcPr>
            <w:tcW w:w="11129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3B96DA08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69782EAB" w14:textId="77777777" w:rsidTr="00806F28">
        <w:trPr>
          <w:trHeight w:val="299"/>
        </w:trPr>
        <w:tc>
          <w:tcPr>
            <w:tcW w:w="11129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50445B87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0EE02394" w14:textId="77777777" w:rsidTr="00806F28">
        <w:trPr>
          <w:trHeight w:val="299"/>
        </w:trPr>
        <w:tc>
          <w:tcPr>
            <w:tcW w:w="11129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42A35427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6992AD57" w14:textId="77777777" w:rsidTr="00806F28">
        <w:trPr>
          <w:trHeight w:val="299"/>
        </w:trPr>
        <w:tc>
          <w:tcPr>
            <w:tcW w:w="11129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47C19C36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0DCC3F90" w14:textId="77777777" w:rsidTr="00806F28">
        <w:trPr>
          <w:trHeight w:val="299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3B10C7C2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Produktidentifisering:</w:t>
            </w:r>
          </w:p>
        </w:tc>
      </w:tr>
      <w:tr w:rsidR="008D0250" w14:paraId="74EF0E8F" w14:textId="77777777" w:rsidTr="00806F28">
        <w:trPr>
          <w:trHeight w:val="359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6FAF21DF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Varenr</w:t>
            </w:r>
            <w:proofErr w:type="spellEnd"/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. / produkt / dim.: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2CB34872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2107E018" w14:textId="77777777" w:rsidTr="00806F28">
        <w:trPr>
          <w:trHeight w:val="359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120E794A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Fargekode:</w:t>
            </w:r>
          </w:p>
        </w:tc>
        <w:tc>
          <w:tcPr>
            <w:tcW w:w="8517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504FD0BE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02B0BA6B" w14:textId="77777777" w:rsidTr="00806F28">
        <w:trPr>
          <w:trHeight w:val="359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462CAEBE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Kvalitet / sortering / klasse:</w:t>
            </w:r>
          </w:p>
        </w:tc>
        <w:tc>
          <w:tcPr>
            <w:tcW w:w="8517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3B388770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7CBD111D" w14:textId="77777777" w:rsidTr="00806F28">
        <w:trPr>
          <w:trHeight w:val="359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50EC4F78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Overflatebehandling:</w:t>
            </w:r>
          </w:p>
        </w:tc>
        <w:tc>
          <w:tcPr>
            <w:tcW w:w="8517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14B19C12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5DAFB30F" w14:textId="77777777" w:rsidTr="00806F28">
        <w:trPr>
          <w:trHeight w:val="359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7C4676AC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Vedlegg / dokumentasjon:</w:t>
            </w:r>
          </w:p>
        </w:tc>
        <w:tc>
          <w:tcPr>
            <w:tcW w:w="8517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3643AF7A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046C7A21" w14:textId="77777777" w:rsidTr="00806F28">
        <w:trPr>
          <w:trHeight w:val="59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38753B30" w14:textId="77777777" w:rsidR="008D0250" w:rsidRPr="00701695" w:rsidRDefault="008D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250" w14:paraId="26B325D7" w14:textId="77777777" w:rsidTr="00806F28">
        <w:trPr>
          <w:trHeight w:val="299"/>
        </w:trPr>
        <w:tc>
          <w:tcPr>
            <w:tcW w:w="11129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509607B9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3. ANVISNINGER FOR DRIFT OG VEDLIKEHOLD</w:t>
            </w:r>
          </w:p>
        </w:tc>
      </w:tr>
      <w:tr w:rsidR="008D0250" w14:paraId="627E28DE" w14:textId="77777777" w:rsidTr="00806F28">
        <w:trPr>
          <w:trHeight w:val="359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41BF7695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Foreligger serviceavtale?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504EC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NEI                JA                </w:t>
            </w: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Hvis ja, firma:</w:t>
            </w:r>
          </w:p>
        </w:tc>
        <w:tc>
          <w:tcPr>
            <w:tcW w:w="4982" w:type="dxa"/>
            <w:gridSpan w:val="3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320AC6EC" w14:textId="77777777" w:rsidR="008D0250" w:rsidRPr="00701695" w:rsidRDefault="008D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250" w14:paraId="2864C77C" w14:textId="77777777" w:rsidTr="00806F28">
        <w:trPr>
          <w:trHeight w:val="329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1CF2C463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Rengjøring og rengjøringsmetoder</w:t>
            </w:r>
          </w:p>
        </w:tc>
      </w:tr>
      <w:tr w:rsidR="008D0250" w14:paraId="7E3A31F9" w14:textId="77777777" w:rsidTr="00806F28">
        <w:trPr>
          <w:trHeight w:val="224"/>
        </w:trPr>
        <w:tc>
          <w:tcPr>
            <w:tcW w:w="11129" w:type="dxa"/>
            <w:gridSpan w:val="6"/>
            <w:vMerge w:val="restart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3D459865" w14:textId="77777777" w:rsidR="008D0250" w:rsidRPr="00701695" w:rsidRDefault="007B75C7" w:rsidP="00701695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Produktet</w:t>
            </w:r>
            <w:r w:rsidR="008D0250" w:rsidRPr="00701695">
              <w:rPr>
                <w:rFonts w:ascii="Arial" w:hAnsi="Arial" w:cs="Arial"/>
                <w:sz w:val="18"/>
                <w:szCs w:val="18"/>
              </w:rPr>
              <w:t xml:space="preserve"> rengjøres med rent vann, eventuelt med </w:t>
            </w:r>
            <w:r w:rsidR="000B2D09" w:rsidRPr="00701695">
              <w:rPr>
                <w:rFonts w:ascii="Arial" w:hAnsi="Arial" w:cs="Arial"/>
                <w:sz w:val="18"/>
                <w:szCs w:val="18"/>
              </w:rPr>
              <w:t>mild husholdningssåpe</w:t>
            </w:r>
            <w:r w:rsidR="00701695" w:rsidRPr="00701695">
              <w:rPr>
                <w:rFonts w:ascii="Arial" w:hAnsi="Arial" w:cs="Arial"/>
                <w:sz w:val="18"/>
                <w:szCs w:val="18"/>
              </w:rPr>
              <w:t xml:space="preserve"> (PH ≤10)</w:t>
            </w:r>
            <w:r w:rsidR="008D0250" w:rsidRPr="0070169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F424F2" w14:textId="77777777" w:rsidR="00F57B2B" w:rsidRPr="00701695" w:rsidRDefault="00F57B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Bruk av høytrykksspyler anbefales ikke.</w:t>
            </w:r>
          </w:p>
        </w:tc>
      </w:tr>
      <w:tr w:rsidR="008D0250" w14:paraId="17135829" w14:textId="77777777" w:rsidTr="00806F28">
        <w:trPr>
          <w:trHeight w:val="224"/>
        </w:trPr>
        <w:tc>
          <w:tcPr>
            <w:tcW w:w="11129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199C2A66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4AA48443" w14:textId="77777777" w:rsidTr="00806F28">
        <w:trPr>
          <w:trHeight w:val="224"/>
        </w:trPr>
        <w:tc>
          <w:tcPr>
            <w:tcW w:w="11129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5C29CCD9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6512CBEC" w14:textId="77777777" w:rsidTr="00806F28">
        <w:trPr>
          <w:trHeight w:val="224"/>
        </w:trPr>
        <w:tc>
          <w:tcPr>
            <w:tcW w:w="11129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2472D99B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59E3585A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1D261AEB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Ettersyn/kontroll</w:t>
            </w:r>
          </w:p>
        </w:tc>
      </w:tr>
      <w:tr w:rsidR="008D0250" w14:paraId="251FC7AD" w14:textId="77777777" w:rsidTr="00806F28">
        <w:trPr>
          <w:trHeight w:val="224"/>
        </w:trPr>
        <w:tc>
          <w:tcPr>
            <w:tcW w:w="11129" w:type="dxa"/>
            <w:gridSpan w:val="6"/>
            <w:vMerge w:val="restart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01C14A44" w14:textId="77777777" w:rsidR="00701695" w:rsidRPr="0047557D" w:rsidRDefault="00701695" w:rsidP="00701695">
            <w:pPr>
              <w:rPr>
                <w:rFonts w:ascii="Arial" w:hAnsi="Arial" w:cs="Arial"/>
                <w:sz w:val="18"/>
                <w:szCs w:val="18"/>
              </w:rPr>
            </w:pPr>
            <w:r w:rsidRPr="0047557D">
              <w:rPr>
                <w:rFonts w:ascii="Arial" w:hAnsi="Arial" w:cs="Arial"/>
                <w:sz w:val="18"/>
                <w:szCs w:val="18"/>
              </w:rPr>
              <w:t xml:space="preserve">Det anbefales årlig ettersyn av fasadens omgivelser, ventilasjonsåpninger, fuger og innfesting. </w:t>
            </w:r>
          </w:p>
          <w:p w14:paraId="6F4AD6CF" w14:textId="77777777" w:rsidR="008D0250" w:rsidRPr="00701695" w:rsidRDefault="00701695" w:rsidP="008F42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557D">
              <w:rPr>
                <w:rFonts w:ascii="Arial" w:hAnsi="Arial" w:cs="Arial"/>
                <w:sz w:val="18"/>
                <w:szCs w:val="18"/>
              </w:rPr>
              <w:t xml:space="preserve">Ettersyn og utbedring av eventuelle skader sikrer lang levetid for </w:t>
            </w:r>
            <w:r w:rsidR="008F4273">
              <w:rPr>
                <w:rFonts w:ascii="Arial" w:hAnsi="Arial" w:cs="Arial"/>
                <w:sz w:val="18"/>
                <w:szCs w:val="18"/>
              </w:rPr>
              <w:t>produktet.</w:t>
            </w:r>
          </w:p>
        </w:tc>
      </w:tr>
      <w:tr w:rsidR="008D0250" w14:paraId="4D03EFAE" w14:textId="77777777" w:rsidTr="00806F28">
        <w:trPr>
          <w:trHeight w:val="224"/>
        </w:trPr>
        <w:tc>
          <w:tcPr>
            <w:tcW w:w="11129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4F3C07CC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70E1B945" w14:textId="77777777" w:rsidTr="00806F28">
        <w:trPr>
          <w:trHeight w:val="224"/>
        </w:trPr>
        <w:tc>
          <w:tcPr>
            <w:tcW w:w="11129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2B0EC67F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35DB155E" w14:textId="77777777" w:rsidTr="00806F28">
        <w:trPr>
          <w:trHeight w:val="368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1E8D82AE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Vedlikeholdsinstruks</w:t>
            </w:r>
            <w:proofErr w:type="spellEnd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og </w:t>
            </w:r>
            <w:r w:rsidR="00B32504"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–</w:t>
            </w: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intervall</w:t>
            </w:r>
          </w:p>
        </w:tc>
      </w:tr>
      <w:tr w:rsidR="008D0250" w14:paraId="1264A85B" w14:textId="77777777" w:rsidTr="00806F28">
        <w:trPr>
          <w:trHeight w:val="224"/>
        </w:trPr>
        <w:tc>
          <w:tcPr>
            <w:tcW w:w="11129" w:type="dxa"/>
            <w:gridSpan w:val="6"/>
            <w:vMerge w:val="restart"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0CF8DEB" w14:textId="77777777" w:rsidR="00121AFA" w:rsidRDefault="002E38B4" w:rsidP="00B325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Produktet</w:t>
            </w:r>
            <w:r w:rsidR="005417DE">
              <w:rPr>
                <w:rFonts w:ascii="Arial" w:hAnsi="Arial" w:cs="Arial"/>
                <w:sz w:val="18"/>
                <w:szCs w:val="18"/>
              </w:rPr>
              <w:t xml:space="preserve"> har en sterk og hard overflate som</w:t>
            </w:r>
            <w:r w:rsidRPr="007016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7DE">
              <w:rPr>
                <w:rFonts w:ascii="Arial" w:hAnsi="Arial" w:cs="Arial"/>
                <w:sz w:val="18"/>
                <w:szCs w:val="18"/>
              </w:rPr>
              <w:t xml:space="preserve">kan stå ubehandlet. </w:t>
            </w:r>
          </w:p>
          <w:p w14:paraId="258430E3" w14:textId="77777777" w:rsidR="008D0250" w:rsidRPr="00701695" w:rsidRDefault="005417DE" w:rsidP="00B325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Hvis ønskelig kan platen males. Benytt da en diffusjonsåpen alkali</w:t>
            </w:r>
            <w:r w:rsidR="0022596D">
              <w:rPr>
                <w:rFonts w:ascii="Arial" w:hAnsi="Arial" w:cs="Arial"/>
                <w:sz w:val="18"/>
                <w:szCs w:val="18"/>
              </w:rPr>
              <w:t>eresistent</w:t>
            </w:r>
            <w:r>
              <w:rPr>
                <w:rFonts w:ascii="Arial" w:hAnsi="Arial" w:cs="Arial"/>
                <w:sz w:val="18"/>
                <w:szCs w:val="18"/>
              </w:rPr>
              <w:t xml:space="preserve"> maling for mur og betong.</w:t>
            </w:r>
          </w:p>
          <w:p w14:paraId="5B543700" w14:textId="1961F104" w:rsidR="003208E9" w:rsidRPr="00701695" w:rsidRDefault="003208E9" w:rsidP="003208E9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BE713F">
              <w:rPr>
                <w:rFonts w:ascii="Arial" w:hAnsi="Arial" w:cs="Arial"/>
                <w:sz w:val="18"/>
                <w:szCs w:val="18"/>
              </w:rPr>
              <w:t xml:space="preserve">Swisspearl </w:t>
            </w:r>
            <w:r w:rsidRPr="00701695">
              <w:rPr>
                <w:rFonts w:ascii="Arial" w:hAnsi="Arial" w:cs="Arial"/>
                <w:sz w:val="18"/>
                <w:szCs w:val="18"/>
              </w:rPr>
              <w:t xml:space="preserve">fasade krever normalt </w:t>
            </w:r>
            <w:r w:rsidR="0022596D">
              <w:rPr>
                <w:rFonts w:ascii="Arial" w:hAnsi="Arial" w:cs="Arial"/>
                <w:sz w:val="18"/>
                <w:szCs w:val="18"/>
              </w:rPr>
              <w:t>lite</w:t>
            </w:r>
            <w:r w:rsidRPr="00701695">
              <w:rPr>
                <w:rFonts w:ascii="Arial" w:hAnsi="Arial" w:cs="Arial"/>
                <w:sz w:val="18"/>
                <w:szCs w:val="18"/>
              </w:rPr>
              <w:t xml:space="preserve"> vedlikehold for å bevare sin styrke, egenskap og funksjon.</w:t>
            </w:r>
          </w:p>
          <w:p w14:paraId="48CEE03A" w14:textId="77777777" w:rsidR="003208E9" w:rsidRPr="00701695" w:rsidRDefault="003208E9" w:rsidP="003208E9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Påvirkning fra omgivelser kan imidlertid ha innvirkning på fasadens utseende og funksjon. </w:t>
            </w:r>
          </w:p>
          <w:p w14:paraId="437CFA1F" w14:textId="77777777" w:rsidR="003208E9" w:rsidRPr="00701695" w:rsidRDefault="003208E9" w:rsidP="003208E9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Det anbefales derfor årlig ettersyn av fasadens omgivelser, ventilasjonsåpninger, fuger og innfesting. </w:t>
            </w:r>
          </w:p>
          <w:p w14:paraId="50F998B8" w14:textId="0FE55373" w:rsidR="002E38B4" w:rsidRPr="00701695" w:rsidRDefault="003208E9" w:rsidP="002E38B4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Ettersyn og utbedring av eventuelle skader sikrer lang levetid for </w:t>
            </w:r>
            <w:r w:rsidR="008F4273">
              <w:rPr>
                <w:rFonts w:ascii="Arial" w:hAnsi="Arial" w:cs="Arial"/>
                <w:sz w:val="18"/>
                <w:szCs w:val="18"/>
              </w:rPr>
              <w:t>produktet</w:t>
            </w:r>
            <w:r w:rsidR="00121AF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D0250" w14:paraId="797A51EA" w14:textId="77777777" w:rsidTr="00806F28">
        <w:trPr>
          <w:trHeight w:val="224"/>
        </w:trPr>
        <w:tc>
          <w:tcPr>
            <w:tcW w:w="11129" w:type="dxa"/>
            <w:gridSpan w:val="6"/>
            <w:vMerge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A9B78E9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3CEA63BA" w14:textId="77777777" w:rsidTr="00806F28">
        <w:trPr>
          <w:trHeight w:val="224"/>
        </w:trPr>
        <w:tc>
          <w:tcPr>
            <w:tcW w:w="11129" w:type="dxa"/>
            <w:gridSpan w:val="6"/>
            <w:vMerge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4A584F4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3D9F7ECC" w14:textId="77777777" w:rsidTr="00806F28">
        <w:trPr>
          <w:trHeight w:val="224"/>
        </w:trPr>
        <w:tc>
          <w:tcPr>
            <w:tcW w:w="11129" w:type="dxa"/>
            <w:gridSpan w:val="6"/>
            <w:vMerge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7009D4E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4D0DBD12" w14:textId="77777777" w:rsidTr="00806F28">
        <w:trPr>
          <w:trHeight w:val="299"/>
        </w:trPr>
        <w:tc>
          <w:tcPr>
            <w:tcW w:w="5222" w:type="dxa"/>
            <w:gridSpan w:val="2"/>
            <w:tcBorders>
              <w:top w:val="single" w:sz="12" w:space="0" w:color="0066FF"/>
              <w:left w:val="single" w:sz="12" w:space="0" w:color="0066FF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2AD01A33" w14:textId="5EF4100B" w:rsidR="008D0250" w:rsidRPr="00701695" w:rsidRDefault="00D1623D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lastRenderedPageBreak/>
              <w:t>Swisspearl Norge AS</w:t>
            </w:r>
          </w:p>
        </w:tc>
        <w:tc>
          <w:tcPr>
            <w:tcW w:w="4921" w:type="dxa"/>
            <w:gridSpan w:val="3"/>
            <w:tcBorders>
              <w:top w:val="single" w:sz="12" w:space="0" w:color="0066FF"/>
              <w:left w:val="nil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0C89D1F3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Bygningsplater</w:t>
            </w:r>
          </w:p>
        </w:tc>
        <w:tc>
          <w:tcPr>
            <w:tcW w:w="985" w:type="dxa"/>
            <w:tcBorders>
              <w:top w:val="single" w:sz="12" w:space="0" w:color="0066FF"/>
              <w:left w:val="nil"/>
              <w:bottom w:val="single" w:sz="4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1E480C54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1040</w:t>
            </w:r>
          </w:p>
        </w:tc>
      </w:tr>
      <w:tr w:rsidR="008D0250" w14:paraId="314A6804" w14:textId="77777777" w:rsidTr="00806F28">
        <w:trPr>
          <w:trHeight w:val="480"/>
        </w:trPr>
        <w:tc>
          <w:tcPr>
            <w:tcW w:w="6929" w:type="dxa"/>
            <w:gridSpan w:val="4"/>
            <w:tcBorders>
              <w:top w:val="single" w:sz="4" w:space="0" w:color="0066FF"/>
              <w:left w:val="single" w:sz="12" w:space="0" w:color="0066FF"/>
              <w:bottom w:val="single" w:sz="12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231B2B1D" w14:textId="3E0C34CA" w:rsidR="008D0250" w:rsidRPr="00701695" w:rsidRDefault="00BE713F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Swisspearl </w:t>
            </w:r>
            <w:r w:rsidR="00162EE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Construction</w:t>
            </w:r>
            <w:r w:rsidR="00B32504" w:rsidRPr="0070169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8D0250" w:rsidRPr="0070169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fasadeplate</w:t>
            </w:r>
          </w:p>
        </w:tc>
        <w:tc>
          <w:tcPr>
            <w:tcW w:w="4199" w:type="dxa"/>
            <w:gridSpan w:val="2"/>
            <w:tcBorders>
              <w:top w:val="single" w:sz="4" w:space="0" w:color="0066FF"/>
              <w:left w:val="nil"/>
              <w:bottom w:val="single" w:sz="12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6451CDA0" w14:textId="77777777" w:rsidR="008D0250" w:rsidRPr="00701695" w:rsidRDefault="002E38B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NOBB </w:t>
            </w:r>
            <w:proofErr w:type="spellStart"/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modulnr</w:t>
            </w:r>
            <w:proofErr w:type="spellEnd"/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="00CB4833" w:rsidRPr="00CB483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21083878</w:t>
            </w:r>
          </w:p>
        </w:tc>
      </w:tr>
      <w:tr w:rsidR="008D0250" w14:paraId="2491A857" w14:textId="77777777" w:rsidTr="00806F28">
        <w:trPr>
          <w:trHeight w:val="284"/>
        </w:trPr>
        <w:tc>
          <w:tcPr>
            <w:tcW w:w="11129" w:type="dxa"/>
            <w:gridSpan w:val="6"/>
            <w:tcBorders>
              <w:top w:val="single" w:sz="12" w:space="0" w:color="0066FF"/>
              <w:left w:val="single" w:sz="4" w:space="0" w:color="0066FF"/>
              <w:bottom w:val="double" w:sz="6" w:space="0" w:color="0066FF"/>
              <w:right w:val="single" w:sz="4" w:space="0" w:color="0066FF"/>
            </w:tcBorders>
            <w:vAlign w:val="center"/>
          </w:tcPr>
          <w:p w14:paraId="0E8522B8" w14:textId="77777777" w:rsidR="008D0250" w:rsidRPr="00701695" w:rsidRDefault="002E38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1695">
              <w:rPr>
                <w:rFonts w:ascii="Arial" w:hAnsi="Arial" w:cs="Arial"/>
                <w:sz w:val="16"/>
                <w:szCs w:val="16"/>
              </w:rPr>
              <w:t>FDV-m4169072</w:t>
            </w:r>
            <w:r w:rsidR="00B32504" w:rsidRPr="007016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D0250" w14:paraId="5E24398E" w14:textId="77777777" w:rsidTr="00806F28">
        <w:trPr>
          <w:trHeight w:val="284"/>
        </w:trPr>
        <w:tc>
          <w:tcPr>
            <w:tcW w:w="11129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bottom"/>
          </w:tcPr>
          <w:p w14:paraId="02F3CDA1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4. DRIFTSTEKNISKE OPPLYSNINGER</w:t>
            </w:r>
          </w:p>
        </w:tc>
      </w:tr>
      <w:tr w:rsidR="008D0250" w14:paraId="3B334B21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2EC0F2E7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Antatt teknisk levetid/brukstid uten utskiftninger</w:t>
            </w:r>
          </w:p>
        </w:tc>
      </w:tr>
      <w:tr w:rsidR="008D0250" w14:paraId="63059D36" w14:textId="77777777" w:rsidTr="00806F28">
        <w:trPr>
          <w:trHeight w:val="254"/>
        </w:trPr>
        <w:tc>
          <w:tcPr>
            <w:tcW w:w="11129" w:type="dxa"/>
            <w:gridSpan w:val="6"/>
            <w:vMerge w:val="restart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39D60835" w14:textId="77777777" w:rsidR="008D0250" w:rsidRPr="00162EE4" w:rsidRDefault="00D8267F" w:rsidP="00DB043A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3A5A">
              <w:rPr>
                <w:rFonts w:ascii="Arial" w:hAnsi="Arial" w:cs="Arial"/>
                <w:sz w:val="18"/>
                <w:szCs w:val="18"/>
              </w:rPr>
              <w:t>Minimum 45</w:t>
            </w:r>
            <w:r w:rsidR="002E38B4" w:rsidRPr="00613A5A">
              <w:rPr>
                <w:rFonts w:ascii="Arial" w:hAnsi="Arial" w:cs="Arial"/>
                <w:sz w:val="18"/>
                <w:szCs w:val="18"/>
              </w:rPr>
              <w:t xml:space="preserve"> år</w:t>
            </w:r>
          </w:p>
        </w:tc>
      </w:tr>
      <w:tr w:rsidR="008D0250" w14:paraId="191E1AA6" w14:textId="77777777" w:rsidTr="00806F28">
        <w:trPr>
          <w:trHeight w:val="254"/>
        </w:trPr>
        <w:tc>
          <w:tcPr>
            <w:tcW w:w="11129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696D1727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6294858B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32F0FFDD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Garanti</w:t>
            </w:r>
          </w:p>
        </w:tc>
      </w:tr>
      <w:tr w:rsidR="008D0250" w14:paraId="40B1D87D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76D4118A" w14:textId="60951D1C" w:rsidR="008D0250" w:rsidRPr="00701695" w:rsidRDefault="006234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egne bestemmelser</w:t>
            </w:r>
            <w:r w:rsidR="005A67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D0250" w14:paraId="6521696C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01CB08E8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Fuktbestandighet</w:t>
            </w:r>
          </w:p>
        </w:tc>
      </w:tr>
      <w:tr w:rsidR="008D0250" w14:paraId="2DF46918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4DD63678" w14:textId="77777777" w:rsidR="008D0250" w:rsidRPr="00701695" w:rsidRDefault="008D0250" w:rsidP="002E38B4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Produktet </w:t>
            </w:r>
            <w:r w:rsidR="002E38B4" w:rsidRPr="00701695">
              <w:rPr>
                <w:rFonts w:ascii="Arial" w:hAnsi="Arial" w:cs="Arial"/>
                <w:sz w:val="18"/>
                <w:szCs w:val="18"/>
              </w:rPr>
              <w:t xml:space="preserve">påvirkes ikke av </w:t>
            </w:r>
            <w:r w:rsidRPr="00701695">
              <w:rPr>
                <w:rFonts w:ascii="Arial" w:hAnsi="Arial" w:cs="Arial"/>
                <w:sz w:val="18"/>
                <w:szCs w:val="18"/>
              </w:rPr>
              <w:t>fukt.</w:t>
            </w:r>
          </w:p>
        </w:tc>
      </w:tr>
      <w:tr w:rsidR="008D0250" w14:paraId="3CD80D1D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14708CD9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Renholdsvennlighet</w:t>
            </w:r>
            <w:proofErr w:type="spellEnd"/>
          </w:p>
        </w:tc>
      </w:tr>
      <w:tr w:rsidR="008D0250" w14:paraId="0AC245AE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477BF8C9" w14:textId="77777777" w:rsidR="008D0250" w:rsidRDefault="00A52283" w:rsidP="008F4273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God</w:t>
            </w:r>
            <w:r w:rsidR="00B32504" w:rsidRPr="007016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1695">
              <w:rPr>
                <w:rFonts w:ascii="Arial" w:hAnsi="Arial" w:cs="Arial"/>
                <w:sz w:val="18"/>
                <w:szCs w:val="18"/>
              </w:rPr>
              <w:t xml:space="preserve"> (dvs. at materialet er lett å gjøre rent med enkle midler</w:t>
            </w:r>
            <w:r w:rsidR="00F57B2B" w:rsidRPr="00701695">
              <w:rPr>
                <w:rFonts w:ascii="Arial" w:hAnsi="Arial" w:cs="Arial"/>
                <w:sz w:val="18"/>
                <w:szCs w:val="18"/>
              </w:rPr>
              <w:t>, har</w:t>
            </w:r>
            <w:r w:rsidRPr="00701695">
              <w:rPr>
                <w:rFonts w:ascii="Arial" w:hAnsi="Arial" w:cs="Arial"/>
                <w:sz w:val="18"/>
                <w:szCs w:val="18"/>
              </w:rPr>
              <w:t xml:space="preserve"> en plan, glatt vaskbar overflate).</w:t>
            </w:r>
          </w:p>
          <w:p w14:paraId="7A041C65" w14:textId="77777777" w:rsidR="00CB4833" w:rsidRPr="00701695" w:rsidRDefault="00CB4833" w:rsidP="008F42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16A9AF20" w14:textId="77777777" w:rsidTr="00806F28">
        <w:trPr>
          <w:trHeight w:val="284"/>
        </w:trPr>
        <w:tc>
          <w:tcPr>
            <w:tcW w:w="11129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59F7E8C5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5. MILJØPÅVIRKNING</w:t>
            </w:r>
          </w:p>
        </w:tc>
      </w:tr>
      <w:tr w:rsidR="008D0250" w14:paraId="2E8D6045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06B02523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Ressursutnyttelse</w:t>
            </w:r>
          </w:p>
        </w:tc>
      </w:tr>
      <w:tr w:rsidR="008D0250" w14:paraId="6EE7799C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00B30585" w14:textId="77777777" w:rsidR="008D0250" w:rsidRPr="00701695" w:rsidRDefault="008D0250" w:rsidP="00F57B2B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Produktet består av </w:t>
            </w:r>
            <w:r w:rsidR="00F57B2B" w:rsidRPr="00701695">
              <w:rPr>
                <w:rFonts w:ascii="Arial" w:hAnsi="Arial" w:cs="Arial"/>
                <w:sz w:val="18"/>
                <w:szCs w:val="18"/>
              </w:rPr>
              <w:t>både fornybare og ikke fornybare ressurser.</w:t>
            </w:r>
          </w:p>
        </w:tc>
      </w:tr>
      <w:tr w:rsidR="008D0250" w14:paraId="18CA3CED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41313BA7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Anbefalt utluftingstid / Inneklimarelevant tidsverdi</w:t>
            </w:r>
          </w:p>
        </w:tc>
      </w:tr>
      <w:tr w:rsidR="008D0250" w14:paraId="31275F10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21901FF9" w14:textId="77777777" w:rsidR="008D0250" w:rsidRPr="00701695" w:rsidRDefault="008F4273" w:rsidP="00B325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0250" w14:paraId="38EBE252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4E76A6DA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Emisjon</w:t>
            </w:r>
          </w:p>
        </w:tc>
      </w:tr>
      <w:tr w:rsidR="008D0250" w14:paraId="229E45A3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4C56378F" w14:textId="77777777" w:rsidR="008D0250" w:rsidRPr="00701695" w:rsidRDefault="008F4273" w:rsidP="00B325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0250" w14:paraId="008FD753" w14:textId="77777777" w:rsidTr="00806F28">
        <w:trPr>
          <w:trHeight w:val="284"/>
        </w:trPr>
        <w:tc>
          <w:tcPr>
            <w:tcW w:w="11129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2CE24C24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6. HMS-REFERANSER</w:t>
            </w:r>
          </w:p>
        </w:tc>
      </w:tr>
      <w:tr w:rsidR="00016E15" w14:paraId="07A6366B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</w:tcPr>
          <w:p w14:paraId="29444141" w14:textId="77777777" w:rsidR="002E38B4" w:rsidRPr="00701695" w:rsidRDefault="002E38B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i/>
                <w:iCs/>
                <w:sz w:val="18"/>
                <w:szCs w:val="18"/>
              </w:rPr>
              <w:t>Se også HMS-FAKTA vedrørende bruk av produktet, samt henvisninger til Arbeidstilsynets publikasjoner.</w:t>
            </w:r>
          </w:p>
          <w:p w14:paraId="3A8813A3" w14:textId="77777777" w:rsidR="00B32504" w:rsidRPr="00701695" w:rsidRDefault="00B3250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11661BF6" w14:textId="77777777" w:rsidR="002E38B4" w:rsidRPr="00701695" w:rsidRDefault="002E38B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Spesielle tiltak ved brannslokking, temperatur- og/eller fuktendringer etc.</w:t>
            </w:r>
          </w:p>
          <w:p w14:paraId="154B6FF5" w14:textId="77777777" w:rsidR="002E38B4" w:rsidRPr="008F4273" w:rsidRDefault="002E38B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Produktet er ubrennbart og angripes</w:t>
            </w:r>
            <w:r w:rsidR="008F4273">
              <w:rPr>
                <w:rFonts w:ascii="Arial" w:hAnsi="Arial" w:cs="Arial"/>
                <w:sz w:val="18"/>
                <w:szCs w:val="18"/>
              </w:rPr>
              <w:t xml:space="preserve"> ikke av mugg, sopp eller råte.</w:t>
            </w:r>
          </w:p>
          <w:p w14:paraId="0A12B757" w14:textId="77777777" w:rsidR="00016E15" w:rsidRDefault="00F57B2B" w:rsidP="002E38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Se HMS Sikkerhetsdatablad</w:t>
            </w:r>
          </w:p>
          <w:p w14:paraId="0B1033F7" w14:textId="77777777" w:rsidR="00CB4833" w:rsidRPr="00701695" w:rsidRDefault="00CB4833" w:rsidP="002E38B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D0250" w14:paraId="393880DC" w14:textId="77777777" w:rsidTr="00806F28">
        <w:trPr>
          <w:trHeight w:val="284"/>
        </w:trPr>
        <w:tc>
          <w:tcPr>
            <w:tcW w:w="11129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0E825661" w14:textId="77777777" w:rsidR="008D0250" w:rsidRPr="00701695" w:rsidRDefault="002B3F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BEHANDLINGSMÅTE FOR AVFALL IHT.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AVFALLSFORSKRIFTEN</w:t>
            </w:r>
          </w:p>
        </w:tc>
      </w:tr>
      <w:tr w:rsidR="00CB4833" w14:paraId="69DCEC97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47B4458C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CB4833">
              <w:rPr>
                <w:rFonts w:ascii="Arial" w:hAnsi="Arial" w:cs="Arial"/>
                <w:sz w:val="18"/>
                <w:szCs w:val="18"/>
              </w:rPr>
              <w:t>Avfallstype: Betong – inneholder ikke farlige stoffer</w:t>
            </w:r>
          </w:p>
        </w:tc>
      </w:tr>
      <w:tr w:rsidR="00CB4833" w14:paraId="0AB51B5D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5B6D49CD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CB4833">
              <w:rPr>
                <w:rFonts w:ascii="Arial" w:hAnsi="Arial" w:cs="Arial"/>
                <w:sz w:val="18"/>
                <w:szCs w:val="18"/>
              </w:rPr>
              <w:t>Avfallshåndtering: Materialgjenvinning</w:t>
            </w:r>
          </w:p>
        </w:tc>
      </w:tr>
      <w:tr w:rsidR="00CB4833" w14:paraId="27C440C9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60E762C0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CB4833">
              <w:rPr>
                <w:rFonts w:ascii="Arial" w:hAnsi="Arial" w:cs="Arial"/>
                <w:sz w:val="18"/>
                <w:szCs w:val="18"/>
              </w:rPr>
              <w:t>Opprinnelse: bygg- og rivningsarbeid</w:t>
            </w:r>
          </w:p>
        </w:tc>
      </w:tr>
      <w:tr w:rsidR="00CB4833" w:rsidRPr="00135539" w14:paraId="327AF4F0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2EF61B1D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CB4833">
              <w:rPr>
                <w:rFonts w:ascii="Arial" w:hAnsi="Arial" w:cs="Arial"/>
                <w:sz w:val="18"/>
                <w:szCs w:val="18"/>
                <w:lang w:val="da-DK"/>
              </w:rPr>
              <w:t xml:space="preserve">Kode for </w:t>
            </w:r>
            <w:proofErr w:type="spellStart"/>
            <w:r w:rsidRPr="00CB4833">
              <w:rPr>
                <w:rFonts w:ascii="Arial" w:hAnsi="Arial" w:cs="Arial"/>
                <w:sz w:val="18"/>
                <w:szCs w:val="18"/>
                <w:lang w:val="da-DK"/>
              </w:rPr>
              <w:t>avfallsberegning</w:t>
            </w:r>
            <w:proofErr w:type="spellEnd"/>
            <w:r w:rsidRPr="00CB4833">
              <w:rPr>
                <w:rFonts w:ascii="Arial" w:hAnsi="Arial" w:cs="Arial"/>
                <w:sz w:val="18"/>
                <w:szCs w:val="18"/>
                <w:lang w:val="da-DK"/>
              </w:rPr>
              <w:t xml:space="preserve">: EAL-kode  </w:t>
            </w:r>
            <w:r w:rsidRPr="00CB4833">
              <w:rPr>
                <w:rFonts w:ascii="Arial" w:hAnsi="Arial" w:cs="Arial"/>
                <w:b/>
                <w:sz w:val="18"/>
                <w:szCs w:val="18"/>
                <w:lang w:val="da-DK"/>
              </w:rPr>
              <w:t>170101</w:t>
            </w:r>
          </w:p>
        </w:tc>
      </w:tr>
      <w:tr w:rsidR="008D0250" w:rsidRPr="00135539" w14:paraId="2D63D766" w14:textId="77777777" w:rsidTr="00806F28">
        <w:trPr>
          <w:trHeight w:val="79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noWrap/>
          </w:tcPr>
          <w:p w14:paraId="32136704" w14:textId="77777777" w:rsidR="008D0250" w:rsidRPr="00CB4833" w:rsidRDefault="008D0250">
            <w:pPr>
              <w:rPr>
                <w:rFonts w:ascii="Arial" w:hAnsi="Arial" w:cs="Arial"/>
                <w:i/>
                <w:iCs/>
                <w:sz w:val="18"/>
                <w:szCs w:val="18"/>
                <w:lang w:val="da-DK"/>
              </w:rPr>
            </w:pPr>
            <w:r w:rsidRPr="00CB4833">
              <w:rPr>
                <w:rFonts w:ascii="Arial" w:hAnsi="Arial" w:cs="Arial"/>
                <w:i/>
                <w:iCs/>
                <w:sz w:val="18"/>
                <w:szCs w:val="18"/>
                <w:lang w:val="da-DK"/>
              </w:rPr>
              <w:t> </w:t>
            </w:r>
          </w:p>
        </w:tc>
      </w:tr>
      <w:tr w:rsidR="008D0250" w14:paraId="640266D1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6A4B40D0" w14:textId="77777777" w:rsidR="008D0250" w:rsidRPr="00CB4833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B48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Øvrige opplysninger</w:t>
            </w:r>
          </w:p>
        </w:tc>
      </w:tr>
      <w:tr w:rsidR="008D0250" w14:paraId="725F90FA" w14:textId="77777777" w:rsidTr="00806F28">
        <w:trPr>
          <w:trHeight w:val="254"/>
        </w:trPr>
        <w:tc>
          <w:tcPr>
            <w:tcW w:w="11129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4B2F5869" w14:textId="77777777" w:rsidR="008D0250" w:rsidRPr="00701695" w:rsidRDefault="008D025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i/>
                <w:iCs/>
                <w:sz w:val="18"/>
                <w:szCs w:val="18"/>
              </w:rPr>
              <w:t>–</w:t>
            </w:r>
          </w:p>
        </w:tc>
      </w:tr>
      <w:tr w:rsidR="008D0250" w14:paraId="44B29F82" w14:textId="77777777" w:rsidTr="00806F28">
        <w:trPr>
          <w:trHeight w:val="284"/>
        </w:trPr>
        <w:tc>
          <w:tcPr>
            <w:tcW w:w="11129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5749C90B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8. TEKNISK SERVICE</w:t>
            </w:r>
          </w:p>
        </w:tc>
      </w:tr>
      <w:tr w:rsidR="008D0250" w14:paraId="3FF28BF7" w14:textId="77777777" w:rsidTr="00806F28">
        <w:trPr>
          <w:trHeight w:val="254"/>
        </w:trPr>
        <w:tc>
          <w:tcPr>
            <w:tcW w:w="2611" w:type="dxa"/>
            <w:tcBorders>
              <w:top w:val="double" w:sz="6" w:space="0" w:color="0066FF"/>
              <w:left w:val="single" w:sz="4" w:space="0" w:color="0066FF"/>
              <w:bottom w:val="nil"/>
              <w:right w:val="nil"/>
            </w:tcBorders>
            <w:vAlign w:val="center"/>
          </w:tcPr>
          <w:p w14:paraId="139E2961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Produsent/importør</w:t>
            </w:r>
          </w:p>
        </w:tc>
        <w:tc>
          <w:tcPr>
            <w:tcW w:w="8517" w:type="dxa"/>
            <w:gridSpan w:val="5"/>
            <w:tcBorders>
              <w:top w:val="double" w:sz="6" w:space="0" w:color="0066FF"/>
              <w:left w:val="nil"/>
              <w:bottom w:val="nil"/>
              <w:right w:val="single" w:sz="4" w:space="0" w:color="0066FF"/>
            </w:tcBorders>
            <w:vAlign w:val="center"/>
          </w:tcPr>
          <w:p w14:paraId="35A617F9" w14:textId="418ED2F6" w:rsidR="008D0250" w:rsidRPr="00701695" w:rsidRDefault="00BE713F" w:rsidP="00CB4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Swisspearl </w:t>
            </w:r>
            <w:r w:rsidR="009346D3">
              <w:rPr>
                <w:rFonts w:ascii="Arial" w:hAnsi="Arial" w:cs="Arial"/>
                <w:sz w:val="18"/>
                <w:szCs w:val="18"/>
              </w:rPr>
              <w:t xml:space="preserve">Norge 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</w:p>
        </w:tc>
      </w:tr>
      <w:tr w:rsidR="008D0250" w14:paraId="21391822" w14:textId="77777777" w:rsidTr="00806F28">
        <w:trPr>
          <w:trHeight w:val="254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56F05AC5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Organisasjonsnr</w:t>
            </w:r>
            <w:proofErr w:type="spellEnd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5DD721D0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NO 985 187 193 MVA</w:t>
            </w:r>
          </w:p>
        </w:tc>
      </w:tr>
      <w:tr w:rsidR="008D0250" w14:paraId="11829A6B" w14:textId="77777777" w:rsidTr="00806F28">
        <w:trPr>
          <w:trHeight w:val="254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265F9596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Postadresse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3BFA6F0A" w14:textId="77777777" w:rsidR="008D0250" w:rsidRPr="00701695" w:rsidRDefault="00162E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Eternitveien 44</w:t>
            </w:r>
          </w:p>
        </w:tc>
      </w:tr>
      <w:tr w:rsidR="008D0250" w14:paraId="7D5CA118" w14:textId="77777777" w:rsidTr="00806F28">
        <w:trPr>
          <w:trHeight w:val="254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5A6AAECC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Postnr</w:t>
            </w:r>
            <w:proofErr w:type="spellEnd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og poststed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49C09D3A" w14:textId="77777777" w:rsidR="008D0250" w:rsidRPr="00701695" w:rsidRDefault="008D0250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347</w:t>
            </w:r>
            <w:r w:rsidR="00CB4833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701695">
              <w:rPr>
                <w:rFonts w:ascii="Arial" w:hAnsi="Arial" w:cs="Arial"/>
                <w:sz w:val="18"/>
                <w:szCs w:val="18"/>
              </w:rPr>
              <w:t>SLEMMESTAD</w:t>
            </w:r>
          </w:p>
        </w:tc>
      </w:tr>
      <w:tr w:rsidR="008D0250" w14:paraId="36120A95" w14:textId="77777777" w:rsidTr="00806F28">
        <w:trPr>
          <w:trHeight w:val="254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659D0C8E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Telefon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54F780B9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31 29 77 </w:t>
            </w:r>
            <w:r w:rsidR="00B808F1" w:rsidRPr="00701695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8D0250" w14:paraId="519D93EC" w14:textId="77777777" w:rsidTr="00806F28">
        <w:trPr>
          <w:trHeight w:val="254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6D2CB3A5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E-post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66F49FA6" w14:textId="4FE911B6" w:rsidR="008D0250" w:rsidRPr="00701695" w:rsidRDefault="00BE713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BE713F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info@no.swisspearl.com</w:t>
            </w:r>
          </w:p>
        </w:tc>
      </w:tr>
      <w:tr w:rsidR="008D0250" w14:paraId="4423D2F7" w14:textId="77777777" w:rsidTr="00806F28">
        <w:trPr>
          <w:trHeight w:val="254"/>
        </w:trPr>
        <w:tc>
          <w:tcPr>
            <w:tcW w:w="2611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25409ECD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Internettadresse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3B18DEB0" w14:textId="5382829F" w:rsidR="008D0250" w:rsidRPr="00701695" w:rsidRDefault="008D025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www.</w:t>
            </w:r>
            <w:r w:rsidR="00BE713F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swisspearl</w:t>
            </w:r>
            <w:r w:rsidRPr="0070169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.no</w:t>
            </w:r>
          </w:p>
        </w:tc>
      </w:tr>
      <w:tr w:rsidR="008D0250" w14:paraId="42BF7FD0" w14:textId="77777777" w:rsidTr="00806F28">
        <w:trPr>
          <w:trHeight w:val="198"/>
        </w:trPr>
        <w:tc>
          <w:tcPr>
            <w:tcW w:w="11129" w:type="dxa"/>
            <w:gridSpan w:val="6"/>
            <w:tcBorders>
              <w:top w:val="single" w:sz="4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01A56FD2" w14:textId="549E0425" w:rsidR="00DB043A" w:rsidRDefault="008D02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  <w:tr w:rsidR="008D0250" w14:paraId="0A0CB928" w14:textId="77777777" w:rsidTr="00806F28">
        <w:trPr>
          <w:trHeight w:val="254"/>
        </w:trPr>
        <w:tc>
          <w:tcPr>
            <w:tcW w:w="2611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nil"/>
            </w:tcBorders>
            <w:vAlign w:val="center"/>
          </w:tcPr>
          <w:p w14:paraId="47973511" w14:textId="77777777" w:rsidR="008D0250" w:rsidRDefault="00B32504" w:rsidP="00B32504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OBE</w:t>
            </w:r>
            <w:r w:rsidR="008D0250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/ 6.4.4</w:t>
            </w:r>
          </w:p>
        </w:tc>
        <w:tc>
          <w:tcPr>
            <w:tcW w:w="4318" w:type="dxa"/>
            <w:gridSpan w:val="3"/>
            <w:tcBorders>
              <w:top w:val="single" w:sz="4" w:space="0" w:color="0066FF"/>
              <w:left w:val="nil"/>
              <w:bottom w:val="single" w:sz="4" w:space="0" w:color="0066FF"/>
              <w:right w:val="nil"/>
            </w:tcBorders>
            <w:vAlign w:val="center"/>
          </w:tcPr>
          <w:p w14:paraId="0EDB9EB3" w14:textId="77777777" w:rsidR="008D0250" w:rsidRDefault="008D0250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R0/G102/B255</w:t>
            </w:r>
          </w:p>
        </w:tc>
        <w:tc>
          <w:tcPr>
            <w:tcW w:w="4199" w:type="dxa"/>
            <w:gridSpan w:val="2"/>
            <w:tcBorders>
              <w:top w:val="single" w:sz="4" w:space="0" w:color="0066FF"/>
              <w:left w:val="nil"/>
              <w:bottom w:val="single" w:sz="4" w:space="0" w:color="0066FF"/>
              <w:right w:val="single" w:sz="4" w:space="0" w:color="0066FF"/>
            </w:tcBorders>
            <w:noWrap/>
            <w:vAlign w:val="center"/>
          </w:tcPr>
          <w:p w14:paraId="1A64047C" w14:textId="77777777" w:rsidR="008D0250" w:rsidRDefault="008D025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</w:tbl>
    <w:p w14:paraId="2527D82C" w14:textId="77777777" w:rsidR="00F96050" w:rsidRPr="00576D00" w:rsidRDefault="00F96050" w:rsidP="00387EE7"/>
    <w:sectPr w:rsidR="00F96050" w:rsidRPr="00576D00" w:rsidSect="0062141B">
      <w:headerReference w:type="default" r:id="rId6"/>
      <w:footerReference w:type="default" r:id="rId7"/>
      <w:pgSz w:w="12240" w:h="15840"/>
      <w:pgMar w:top="899" w:right="720" w:bottom="1440" w:left="72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8A62" w14:textId="77777777" w:rsidR="00CA23B3" w:rsidRDefault="00CA23B3">
      <w:r>
        <w:separator/>
      </w:r>
    </w:p>
  </w:endnote>
  <w:endnote w:type="continuationSeparator" w:id="0">
    <w:p w14:paraId="7B5FFFCB" w14:textId="77777777" w:rsidR="00CA23B3" w:rsidRDefault="00CA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02E" w14:textId="77777777" w:rsidR="004F5F9C" w:rsidRPr="0089473F" w:rsidRDefault="004F5F9C" w:rsidP="00DC0D6F">
    <w:pPr>
      <w:pStyle w:val="Footer"/>
      <w:jc w:val="both"/>
      <w:rPr>
        <w:rStyle w:val="PageNumber"/>
        <w:rFonts w:ascii="Arial" w:hAnsi="Arial" w:cs="Arial"/>
        <w:i/>
        <w:sz w:val="20"/>
        <w:szCs w:val="20"/>
      </w:rPr>
    </w:pPr>
    <w:r w:rsidRPr="00C45AE1">
      <w:rPr>
        <w:rFonts w:ascii="Arial" w:hAnsi="Arial" w:cs="Arial"/>
        <w:sz w:val="20"/>
        <w:szCs w:val="20"/>
      </w:rPr>
      <w:t xml:space="preserve">Side </w:t>
    </w:r>
    <w:r w:rsidRPr="00C45AE1">
      <w:rPr>
        <w:rStyle w:val="PageNumber"/>
        <w:rFonts w:ascii="Arial" w:hAnsi="Arial" w:cs="Arial"/>
        <w:sz w:val="20"/>
        <w:szCs w:val="20"/>
      </w:rPr>
      <w:fldChar w:fldCharType="begin"/>
    </w:r>
    <w:r w:rsidRPr="00C45AE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45AE1">
      <w:rPr>
        <w:rStyle w:val="PageNumber"/>
        <w:rFonts w:ascii="Arial" w:hAnsi="Arial" w:cs="Arial"/>
        <w:sz w:val="20"/>
        <w:szCs w:val="20"/>
      </w:rPr>
      <w:fldChar w:fldCharType="separate"/>
    </w:r>
    <w:r w:rsidR="00135539">
      <w:rPr>
        <w:rStyle w:val="PageNumber"/>
        <w:rFonts w:ascii="Arial" w:hAnsi="Arial" w:cs="Arial"/>
        <w:noProof/>
        <w:sz w:val="20"/>
        <w:szCs w:val="20"/>
      </w:rPr>
      <w:t>2</w:t>
    </w:r>
    <w:r w:rsidRPr="00C45AE1">
      <w:rPr>
        <w:rStyle w:val="PageNumber"/>
        <w:rFonts w:ascii="Arial" w:hAnsi="Arial" w:cs="Arial"/>
        <w:sz w:val="20"/>
        <w:szCs w:val="20"/>
      </w:rPr>
      <w:fldChar w:fldCharType="end"/>
    </w:r>
    <w:r w:rsidRPr="00C45AE1">
      <w:rPr>
        <w:rStyle w:val="PageNumber"/>
        <w:rFonts w:ascii="Arial" w:hAnsi="Arial" w:cs="Arial"/>
        <w:sz w:val="20"/>
        <w:szCs w:val="20"/>
      </w:rPr>
      <w:t xml:space="preserve"> av </w:t>
    </w:r>
    <w:r w:rsidRPr="00C45AE1">
      <w:rPr>
        <w:rStyle w:val="PageNumber"/>
        <w:rFonts w:ascii="Arial" w:hAnsi="Arial" w:cs="Arial"/>
        <w:sz w:val="20"/>
        <w:szCs w:val="20"/>
      </w:rPr>
      <w:fldChar w:fldCharType="begin"/>
    </w:r>
    <w:r w:rsidRPr="00C45AE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C45AE1">
      <w:rPr>
        <w:rStyle w:val="PageNumber"/>
        <w:rFonts w:ascii="Arial" w:hAnsi="Arial" w:cs="Arial"/>
        <w:sz w:val="20"/>
        <w:szCs w:val="20"/>
      </w:rPr>
      <w:fldChar w:fldCharType="separate"/>
    </w:r>
    <w:r w:rsidR="00135539">
      <w:rPr>
        <w:rStyle w:val="PageNumber"/>
        <w:rFonts w:ascii="Arial" w:hAnsi="Arial" w:cs="Arial"/>
        <w:noProof/>
        <w:sz w:val="20"/>
        <w:szCs w:val="20"/>
      </w:rPr>
      <w:t>2</w:t>
    </w:r>
    <w:r w:rsidRPr="00C45AE1">
      <w:rPr>
        <w:rStyle w:val="PageNumber"/>
        <w:rFonts w:ascii="Arial" w:hAnsi="Arial" w:cs="Arial"/>
        <w:sz w:val="20"/>
        <w:szCs w:val="20"/>
      </w:rPr>
      <w:fldChar w:fldCharType="end"/>
    </w:r>
    <w:r w:rsidRPr="00C45AE1">
      <w:rPr>
        <w:rStyle w:val="PageNumber"/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t xml:space="preserve">  </w:t>
    </w:r>
    <w:r>
      <w:rPr>
        <w:rStyle w:val="PageNumber"/>
        <w:rFonts w:ascii="Arial" w:hAnsi="Arial" w:cs="Arial"/>
        <w:sz w:val="20"/>
        <w:szCs w:val="20"/>
      </w:rPr>
      <w:tab/>
      <w:t xml:space="preserve">                                                        </w:t>
    </w:r>
    <w:r>
      <w:rPr>
        <w:rStyle w:val="PageNumber"/>
        <w:rFonts w:ascii="Arial" w:hAnsi="Arial" w:cs="Arial"/>
        <w:sz w:val="20"/>
        <w:szCs w:val="20"/>
      </w:rPr>
      <w:tab/>
      <w:t xml:space="preserve">                </w:t>
    </w:r>
    <w:r w:rsidRPr="0012440E">
      <w:rPr>
        <w:rStyle w:val="PageNumber"/>
        <w:rFonts w:ascii="Arial" w:hAnsi="Arial" w:cs="Arial"/>
        <w:i/>
        <w:sz w:val="18"/>
        <w:szCs w:val="18"/>
      </w:rPr>
      <w:t>Informasjonen er tilrettelagt av</w:t>
    </w:r>
  </w:p>
  <w:p w14:paraId="4B4A6F1D" w14:textId="77777777" w:rsidR="004F5F9C" w:rsidRPr="00DC0D6F" w:rsidRDefault="004F5F9C" w:rsidP="00DC0D6F">
    <w:pPr>
      <w:pStyle w:val="Footer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sz w:val="20"/>
        <w:szCs w:val="20"/>
      </w:rPr>
      <w:t>©</w:t>
    </w:r>
    <w:r>
      <w:rPr>
        <w:rStyle w:val="PageNumber"/>
        <w:rFonts w:ascii="Arial" w:hAnsi="Arial" w:cs="Arial"/>
        <w:sz w:val="20"/>
        <w:szCs w:val="20"/>
      </w:rPr>
      <w:t xml:space="preserve"> Norsk </w:t>
    </w:r>
    <w:proofErr w:type="spellStart"/>
    <w:r>
      <w:rPr>
        <w:rStyle w:val="PageNumber"/>
        <w:rFonts w:ascii="Arial" w:hAnsi="Arial" w:cs="Arial"/>
        <w:sz w:val="20"/>
        <w:szCs w:val="20"/>
      </w:rPr>
      <w:t>Byggtjeneste</w:t>
    </w:r>
    <w:proofErr w:type="spellEnd"/>
    <w:r>
      <w:rPr>
        <w:rStyle w:val="PageNumber"/>
        <w:rFonts w:ascii="Arial" w:hAnsi="Arial" w:cs="Arial"/>
        <w:sz w:val="20"/>
        <w:szCs w:val="20"/>
      </w:rPr>
      <w:t xml:space="preserve"> AS                                                                                                             </w:t>
    </w:r>
    <w:r w:rsidR="004F7A09" w:rsidRPr="003E359A">
      <w:rPr>
        <w:rFonts w:ascii="Arial" w:hAnsi="Arial" w:cs="Arial"/>
        <w:noProof/>
        <w:sz w:val="20"/>
        <w:szCs w:val="20"/>
        <w:lang w:eastAsia="nb-NO"/>
      </w:rPr>
      <w:drawing>
        <wp:inline distT="0" distB="0" distL="0" distR="0" wp14:anchorId="56869F06" wp14:editId="058F9D79">
          <wp:extent cx="1562100" cy="247650"/>
          <wp:effectExtent l="0" t="0" r="0" b="0"/>
          <wp:docPr id="2" name="Bilde 2" descr="Beskrivelse: Byggtjeneste_rgb cop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Beskrivelse: Byggtjeneste_rgb copy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E302" w14:textId="77777777" w:rsidR="00CA23B3" w:rsidRDefault="00CA23B3">
      <w:r>
        <w:separator/>
      </w:r>
    </w:p>
  </w:footnote>
  <w:footnote w:type="continuationSeparator" w:id="0">
    <w:p w14:paraId="2E0E467E" w14:textId="77777777" w:rsidR="00CA23B3" w:rsidRDefault="00CA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0502" w14:textId="77777777" w:rsidR="008B5E21" w:rsidRDefault="004F5F9C" w:rsidP="008B5E21">
    <w:pPr>
      <w:pStyle w:val="Header"/>
      <w:tabs>
        <w:tab w:val="clear" w:pos="4320"/>
        <w:tab w:val="clear" w:pos="8640"/>
        <w:tab w:val="center" w:pos="5400"/>
        <w:tab w:val="right" w:pos="11160"/>
      </w:tabs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ab/>
    </w:r>
    <w:r w:rsidR="008B5E21">
      <w:rPr>
        <w:noProof/>
      </w:rPr>
      <w:drawing>
        <wp:inline distT="0" distB="0" distL="0" distR="0" wp14:anchorId="46A98AC7" wp14:editId="713DCE0E">
          <wp:extent cx="2008505" cy="61074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463" cy="63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8E06B" w14:textId="77777777" w:rsidR="008B5E21" w:rsidRPr="00475807" w:rsidRDefault="008B5E21" w:rsidP="00BC712E">
    <w:pPr>
      <w:pStyle w:val="Header"/>
      <w:tabs>
        <w:tab w:val="clear" w:pos="4320"/>
        <w:tab w:val="clear" w:pos="8640"/>
        <w:tab w:val="center" w:pos="5400"/>
        <w:tab w:val="right" w:pos="11160"/>
      </w:tabs>
      <w:jc w:val="center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F</w:t>
    </w:r>
    <w:r w:rsidRPr="00C45AE1">
      <w:rPr>
        <w:rFonts w:ascii="Arial" w:hAnsi="Arial" w:cs="Arial"/>
        <w:b/>
        <w:sz w:val="44"/>
        <w:szCs w:val="44"/>
      </w:rPr>
      <w:t>DV-DOKUMENTASJON</w:t>
    </w:r>
  </w:p>
  <w:p w14:paraId="3FC3F950" w14:textId="6463BBE1" w:rsidR="004F5F9C" w:rsidRPr="003E0923" w:rsidRDefault="008B5E21" w:rsidP="00DB043A">
    <w:pPr>
      <w:pStyle w:val="Header"/>
      <w:tabs>
        <w:tab w:val="clear" w:pos="4320"/>
        <w:tab w:val="clear" w:pos="8640"/>
        <w:tab w:val="center" w:pos="5400"/>
        <w:tab w:val="right" w:pos="1116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</w:t>
    </w:r>
    <w:r w:rsidR="00387EE7">
      <w:rPr>
        <w:rFonts w:ascii="Arial" w:hAnsi="Arial" w:cs="Arial"/>
        <w:b/>
      </w:rPr>
      <w:t>Nov 2025</w:t>
    </w:r>
    <w:r w:rsidR="004F5F9C">
      <w:rPr>
        <w:rFonts w:ascii="Arial" w:hAnsi="Arial" w:cs="Arial"/>
        <w:b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47"/>
    <w:rsid w:val="00016E15"/>
    <w:rsid w:val="00075C64"/>
    <w:rsid w:val="00090D94"/>
    <w:rsid w:val="000B2D09"/>
    <w:rsid w:val="00116A0A"/>
    <w:rsid w:val="00121AFA"/>
    <w:rsid w:val="00134796"/>
    <w:rsid w:val="00135539"/>
    <w:rsid w:val="00137CDF"/>
    <w:rsid w:val="00162EE4"/>
    <w:rsid w:val="001671CA"/>
    <w:rsid w:val="001A0DEA"/>
    <w:rsid w:val="001A7F82"/>
    <w:rsid w:val="001E02D6"/>
    <w:rsid w:val="001E18BE"/>
    <w:rsid w:val="00202504"/>
    <w:rsid w:val="00220030"/>
    <w:rsid w:val="0022596D"/>
    <w:rsid w:val="00226000"/>
    <w:rsid w:val="00232350"/>
    <w:rsid w:val="002411F3"/>
    <w:rsid w:val="002818B6"/>
    <w:rsid w:val="002B23A7"/>
    <w:rsid w:val="002B3FFB"/>
    <w:rsid w:val="002D3F4F"/>
    <w:rsid w:val="002E38B4"/>
    <w:rsid w:val="003208E9"/>
    <w:rsid w:val="003418D2"/>
    <w:rsid w:val="003826AE"/>
    <w:rsid w:val="00387EE7"/>
    <w:rsid w:val="003B7A94"/>
    <w:rsid w:val="003C5FAE"/>
    <w:rsid w:val="003D5898"/>
    <w:rsid w:val="003E0923"/>
    <w:rsid w:val="003E359A"/>
    <w:rsid w:val="00471468"/>
    <w:rsid w:val="0049477A"/>
    <w:rsid w:val="004B46DF"/>
    <w:rsid w:val="004D3E10"/>
    <w:rsid w:val="004F5F9C"/>
    <w:rsid w:val="004F7A09"/>
    <w:rsid w:val="005417DE"/>
    <w:rsid w:val="00555462"/>
    <w:rsid w:val="005613A4"/>
    <w:rsid w:val="00576D00"/>
    <w:rsid w:val="00596D10"/>
    <w:rsid w:val="005A6734"/>
    <w:rsid w:val="005A7CB6"/>
    <w:rsid w:val="005C262F"/>
    <w:rsid w:val="005F1CDD"/>
    <w:rsid w:val="00613A5A"/>
    <w:rsid w:val="0062141B"/>
    <w:rsid w:val="00622BB0"/>
    <w:rsid w:val="006234FA"/>
    <w:rsid w:val="006263A6"/>
    <w:rsid w:val="0063002A"/>
    <w:rsid w:val="006321EA"/>
    <w:rsid w:val="006331E7"/>
    <w:rsid w:val="006428B0"/>
    <w:rsid w:val="0065252C"/>
    <w:rsid w:val="0066212A"/>
    <w:rsid w:val="006964C8"/>
    <w:rsid w:val="006A0915"/>
    <w:rsid w:val="006B74C5"/>
    <w:rsid w:val="006C4210"/>
    <w:rsid w:val="006E7274"/>
    <w:rsid w:val="006F030D"/>
    <w:rsid w:val="006F2664"/>
    <w:rsid w:val="006F7247"/>
    <w:rsid w:val="00701695"/>
    <w:rsid w:val="00712FFE"/>
    <w:rsid w:val="007143B8"/>
    <w:rsid w:val="00742263"/>
    <w:rsid w:val="00754707"/>
    <w:rsid w:val="00762D1E"/>
    <w:rsid w:val="0077133C"/>
    <w:rsid w:val="007B75C7"/>
    <w:rsid w:val="007C7F3D"/>
    <w:rsid w:val="007D1FAF"/>
    <w:rsid w:val="0080447A"/>
    <w:rsid w:val="00806F28"/>
    <w:rsid w:val="008206C4"/>
    <w:rsid w:val="008345BD"/>
    <w:rsid w:val="008408D4"/>
    <w:rsid w:val="008409DE"/>
    <w:rsid w:val="008745F5"/>
    <w:rsid w:val="00882112"/>
    <w:rsid w:val="008B5E21"/>
    <w:rsid w:val="008D0250"/>
    <w:rsid w:val="008E120D"/>
    <w:rsid w:val="008F4273"/>
    <w:rsid w:val="009161F2"/>
    <w:rsid w:val="00923FBC"/>
    <w:rsid w:val="00925F35"/>
    <w:rsid w:val="009346D3"/>
    <w:rsid w:val="009540E1"/>
    <w:rsid w:val="00957B19"/>
    <w:rsid w:val="0097716C"/>
    <w:rsid w:val="00982489"/>
    <w:rsid w:val="00987FCD"/>
    <w:rsid w:val="009930DC"/>
    <w:rsid w:val="009B5658"/>
    <w:rsid w:val="009C5D76"/>
    <w:rsid w:val="009D63E5"/>
    <w:rsid w:val="00A12447"/>
    <w:rsid w:val="00A32189"/>
    <w:rsid w:val="00A52283"/>
    <w:rsid w:val="00A61E5B"/>
    <w:rsid w:val="00A6471C"/>
    <w:rsid w:val="00A72C3C"/>
    <w:rsid w:val="00A93829"/>
    <w:rsid w:val="00AB2E1F"/>
    <w:rsid w:val="00AC47FD"/>
    <w:rsid w:val="00AD167F"/>
    <w:rsid w:val="00AE69B2"/>
    <w:rsid w:val="00B0509D"/>
    <w:rsid w:val="00B07B1D"/>
    <w:rsid w:val="00B10A32"/>
    <w:rsid w:val="00B14170"/>
    <w:rsid w:val="00B206A5"/>
    <w:rsid w:val="00B32504"/>
    <w:rsid w:val="00B35214"/>
    <w:rsid w:val="00B4493E"/>
    <w:rsid w:val="00B60BEC"/>
    <w:rsid w:val="00B808F1"/>
    <w:rsid w:val="00B91074"/>
    <w:rsid w:val="00B941A1"/>
    <w:rsid w:val="00B944BB"/>
    <w:rsid w:val="00BC04A3"/>
    <w:rsid w:val="00BC712E"/>
    <w:rsid w:val="00BD5C57"/>
    <w:rsid w:val="00BE713F"/>
    <w:rsid w:val="00C06FF0"/>
    <w:rsid w:val="00C43FCA"/>
    <w:rsid w:val="00C45AE1"/>
    <w:rsid w:val="00C61309"/>
    <w:rsid w:val="00C73671"/>
    <w:rsid w:val="00CA23B3"/>
    <w:rsid w:val="00CB4833"/>
    <w:rsid w:val="00CC0BBB"/>
    <w:rsid w:val="00CC6FBD"/>
    <w:rsid w:val="00D1623D"/>
    <w:rsid w:val="00D36225"/>
    <w:rsid w:val="00D454E8"/>
    <w:rsid w:val="00D8267F"/>
    <w:rsid w:val="00D96282"/>
    <w:rsid w:val="00DA7978"/>
    <w:rsid w:val="00DB043A"/>
    <w:rsid w:val="00DC0D6F"/>
    <w:rsid w:val="00DD1501"/>
    <w:rsid w:val="00DF3763"/>
    <w:rsid w:val="00DF45A9"/>
    <w:rsid w:val="00E20ADA"/>
    <w:rsid w:val="00E64E02"/>
    <w:rsid w:val="00ED2556"/>
    <w:rsid w:val="00F26F3E"/>
    <w:rsid w:val="00F36349"/>
    <w:rsid w:val="00F508F3"/>
    <w:rsid w:val="00F517DD"/>
    <w:rsid w:val="00F57B2B"/>
    <w:rsid w:val="00F96050"/>
    <w:rsid w:val="00FA1620"/>
    <w:rsid w:val="00FD7BCF"/>
    <w:rsid w:val="00FE1FE3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0102035"/>
  <w15:chartTrackingRefBased/>
  <w15:docId w15:val="{84186156-FDB5-4F3D-B647-7FD09624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E5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5A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5A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5AE1"/>
  </w:style>
  <w:style w:type="paragraph" w:styleId="BalloonText">
    <w:name w:val="Balloon Text"/>
    <w:basedOn w:val="Normal"/>
    <w:semiHidden/>
    <w:rsid w:val="006964C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B5E2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Alexander Langfeldt</dc:creator>
  <cp:keywords/>
  <cp:lastModifiedBy>Terje Alexander Langfeldt</cp:lastModifiedBy>
  <cp:revision>2</cp:revision>
  <dcterms:created xsi:type="dcterms:W3CDTF">2025-11-27T10:02:00Z</dcterms:created>
  <dcterms:modified xsi:type="dcterms:W3CDTF">2025-11-27T10:02:00Z</dcterms:modified>
</cp:coreProperties>
</file>